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69" w:rsidRDefault="007D0769" w:rsidP="007D0769">
      <w:pPr>
        <w:pStyle w:val="2"/>
        <w:shd w:val="clear" w:color="auto" w:fill="6BAED4"/>
        <w:spacing w:before="0" w:beforeAutospacing="0" w:after="0" w:afterAutospacing="0" w:line="468" w:lineRule="atLeast"/>
        <w:rPr>
          <w:rFonts w:ascii="Arial" w:hAnsi="Arial" w:cs="Arial"/>
          <w:b w:val="0"/>
          <w:bCs w:val="0"/>
          <w:color w:val="FFFFFF"/>
          <w:sz w:val="39"/>
          <w:szCs w:val="39"/>
        </w:rPr>
      </w:pPr>
      <w:r>
        <w:rPr>
          <w:rFonts w:ascii="Arial" w:hAnsi="Arial" w:cs="Arial"/>
          <w:b w:val="0"/>
          <w:bCs w:val="0"/>
          <w:color w:val="FFFFFF"/>
          <w:sz w:val="39"/>
          <w:szCs w:val="39"/>
        </w:rPr>
        <w:fldChar w:fldCharType="begin"/>
      </w:r>
      <w:r>
        <w:rPr>
          <w:rFonts w:ascii="Arial" w:hAnsi="Arial" w:cs="Arial"/>
          <w:b w:val="0"/>
          <w:bCs w:val="0"/>
          <w:color w:val="FFFFFF"/>
          <w:sz w:val="39"/>
          <w:szCs w:val="39"/>
        </w:rPr>
        <w:instrText xml:space="preserve"> HYPERLINK "https://uo.chegem.ru/gia/46-novye-2015/deyatelnost-uo/gia-vypusknikov/228-sovety-roditelyam-detej-s-ovz" </w:instrText>
      </w:r>
      <w:r>
        <w:rPr>
          <w:rFonts w:ascii="Arial" w:hAnsi="Arial" w:cs="Arial"/>
          <w:b w:val="0"/>
          <w:bCs w:val="0"/>
          <w:color w:val="FFFFFF"/>
          <w:sz w:val="39"/>
          <w:szCs w:val="39"/>
        </w:rPr>
        <w:fldChar w:fldCharType="separate"/>
      </w:r>
      <w:r>
        <w:rPr>
          <w:rStyle w:val="a3"/>
          <w:rFonts w:ascii="Arial" w:hAnsi="Arial" w:cs="Arial"/>
          <w:b w:val="0"/>
          <w:bCs w:val="0"/>
          <w:color w:val="1E4D68"/>
          <w:sz w:val="39"/>
          <w:szCs w:val="39"/>
        </w:rPr>
        <w:t>Советы родителям детей с ОВЗ</w:t>
      </w:r>
      <w:r>
        <w:rPr>
          <w:rFonts w:ascii="Arial" w:hAnsi="Arial" w:cs="Arial"/>
          <w:b w:val="0"/>
          <w:bCs w:val="0"/>
          <w:color w:val="FFFFFF"/>
          <w:sz w:val="39"/>
          <w:szCs w:val="39"/>
        </w:rPr>
        <w:fldChar w:fldCharType="end"/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Минобрнауки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России от 24.12.2013 №1400).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Кто относится к выпускникам с ограниченными возможностями здоровья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 откладывайте обращение в ПМПК на последние дни!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Особенности проведения ЕГЭ для выпускников с ограниченными возможностями здоровья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Рособрнадзора</w:t>
      </w:r>
      <w:proofErr w:type="spellEnd"/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Особенности проведения ГВЭ для выпускников с ограниченными возможностями здоровья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Поступление в вуз выпускников с ограниченными возможностями здоровья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Таким образом, заключение ПМПК необходимо будет представить в приемную комиссию ВУЗа.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ВУЗ.</w:t>
      </w:r>
    </w:p>
    <w:p w:rsidR="00FA6D43" w:rsidRPr="007D0769" w:rsidRDefault="00FA6D43" w:rsidP="007D0769">
      <w:bookmarkStart w:id="0" w:name="_GoBack"/>
      <w:bookmarkEnd w:id="0"/>
    </w:p>
    <w:sectPr w:rsidR="00FA6D43" w:rsidRPr="007D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5"/>
    <w:rsid w:val="007D0769"/>
    <w:rsid w:val="009C2125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4325"/>
  <w15:chartTrackingRefBased/>
  <w15:docId w15:val="{6941A8A4-97C8-4476-8B60-1874FCFD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2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2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2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Рузана</dc:creator>
  <cp:keywords/>
  <dc:description/>
  <cp:lastModifiedBy>Рузана</cp:lastModifiedBy>
  <cp:revision>2</cp:revision>
  <dcterms:created xsi:type="dcterms:W3CDTF">2023-05-12T11:05:00Z</dcterms:created>
  <dcterms:modified xsi:type="dcterms:W3CDTF">2023-05-12T11:05:00Z</dcterms:modified>
</cp:coreProperties>
</file>